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A8" w:rsidRPr="0011094B" w:rsidRDefault="008122A8" w:rsidP="008122A8">
      <w:pPr>
        <w:ind w:firstLineChars="0" w:firstLine="0"/>
        <w:jc w:val="center"/>
        <w:rPr>
          <w:b/>
          <w:sz w:val="28"/>
          <w:szCs w:val="21"/>
        </w:rPr>
      </w:pPr>
      <w:r w:rsidRPr="0011094B">
        <w:rPr>
          <w:rFonts w:hint="eastAsia"/>
          <w:b/>
          <w:sz w:val="28"/>
          <w:szCs w:val="21"/>
        </w:rPr>
        <w:t>新加坡</w:t>
      </w:r>
      <w:r w:rsidRPr="0011094B">
        <w:rPr>
          <w:b/>
          <w:sz w:val="28"/>
          <w:szCs w:val="21"/>
        </w:rPr>
        <w:t>国立大学</w:t>
      </w:r>
      <w:r w:rsidR="0010255C" w:rsidRPr="0011094B">
        <w:rPr>
          <w:rFonts w:hint="eastAsia"/>
          <w:b/>
          <w:sz w:val="28"/>
          <w:szCs w:val="21"/>
        </w:rPr>
        <w:t>土木</w:t>
      </w:r>
      <w:r w:rsidR="0010255C" w:rsidRPr="0011094B">
        <w:rPr>
          <w:b/>
          <w:sz w:val="28"/>
          <w:szCs w:val="21"/>
        </w:rPr>
        <w:t>工程系</w:t>
      </w:r>
      <w:r w:rsidRPr="0011094B">
        <w:rPr>
          <w:rFonts w:hint="eastAsia"/>
          <w:b/>
          <w:sz w:val="28"/>
          <w:szCs w:val="21"/>
        </w:rPr>
        <w:t>和中国同济大学交通运输工程学院</w:t>
      </w:r>
    </w:p>
    <w:p w:rsidR="008122A8" w:rsidRPr="0011094B" w:rsidRDefault="008122A8" w:rsidP="008122A8">
      <w:pPr>
        <w:ind w:firstLineChars="0" w:firstLine="0"/>
        <w:jc w:val="center"/>
        <w:rPr>
          <w:b/>
          <w:sz w:val="28"/>
          <w:szCs w:val="21"/>
        </w:rPr>
      </w:pPr>
      <w:r w:rsidRPr="0011094B">
        <w:rPr>
          <w:rFonts w:hint="eastAsia"/>
          <w:b/>
          <w:sz w:val="28"/>
          <w:szCs w:val="21"/>
        </w:rPr>
        <w:t>联合培养本科硕士（</w:t>
      </w:r>
      <w:r w:rsidRPr="0011094B">
        <w:rPr>
          <w:rFonts w:hint="eastAsia"/>
          <w:b/>
          <w:sz w:val="28"/>
          <w:szCs w:val="21"/>
        </w:rPr>
        <w:t>3+1+1</w:t>
      </w:r>
      <w:r w:rsidRPr="0011094B">
        <w:rPr>
          <w:rFonts w:hint="eastAsia"/>
          <w:b/>
          <w:sz w:val="28"/>
          <w:szCs w:val="21"/>
        </w:rPr>
        <w:t>）项目招生介绍</w:t>
      </w:r>
    </w:p>
    <w:p w:rsidR="0010255C" w:rsidRDefault="0010255C" w:rsidP="00F54FCE">
      <w:pPr>
        <w:pStyle w:val="1"/>
        <w:ind w:firstLineChars="71" w:firstLine="171"/>
      </w:pPr>
      <w:r>
        <w:rPr>
          <w:rFonts w:hint="eastAsia"/>
        </w:rPr>
        <w:t xml:space="preserve">1 </w:t>
      </w:r>
      <w:r>
        <w:rPr>
          <w:rFonts w:hint="eastAsia"/>
        </w:rPr>
        <w:t>项目</w:t>
      </w:r>
      <w:r>
        <w:t>介绍</w:t>
      </w:r>
    </w:p>
    <w:p w:rsidR="00F54FCE" w:rsidRPr="00433725" w:rsidRDefault="00F54FCE" w:rsidP="00433725">
      <w:pPr>
        <w:ind w:firstLineChars="300" w:firstLine="630"/>
        <w:rPr>
          <w:szCs w:val="21"/>
        </w:rPr>
      </w:pPr>
      <w:r>
        <w:rPr>
          <w:rFonts w:hint="eastAsia"/>
          <w:szCs w:val="21"/>
        </w:rPr>
        <w:t>新加坡</w:t>
      </w:r>
      <w:r>
        <w:rPr>
          <w:szCs w:val="21"/>
        </w:rPr>
        <w:t>国立大学</w:t>
      </w:r>
      <w:r>
        <w:rPr>
          <w:rFonts w:hint="eastAsia"/>
          <w:szCs w:val="21"/>
        </w:rPr>
        <w:t>土木</w:t>
      </w:r>
      <w:r>
        <w:rPr>
          <w:szCs w:val="21"/>
        </w:rPr>
        <w:t>工程系</w:t>
      </w:r>
      <w:r>
        <w:rPr>
          <w:rFonts w:hint="eastAsia"/>
          <w:szCs w:val="21"/>
        </w:rPr>
        <w:t>和</w:t>
      </w:r>
      <w:r w:rsidRPr="00E20CAC">
        <w:rPr>
          <w:rFonts w:hint="eastAsia"/>
          <w:szCs w:val="21"/>
        </w:rPr>
        <w:t>同济大学交通运输工程学院的联合培养本科硕士（</w:t>
      </w:r>
      <w:r w:rsidRPr="00E20CAC">
        <w:rPr>
          <w:rFonts w:hint="eastAsia"/>
          <w:szCs w:val="21"/>
        </w:rPr>
        <w:t>3+1+1</w:t>
      </w:r>
      <w:r w:rsidRPr="00E20CAC">
        <w:rPr>
          <w:rFonts w:hint="eastAsia"/>
          <w:szCs w:val="21"/>
        </w:rPr>
        <w:t>）项目由</w:t>
      </w:r>
      <w:r>
        <w:rPr>
          <w:rFonts w:hint="eastAsia"/>
          <w:szCs w:val="21"/>
        </w:rPr>
        <w:t>新加坡</w:t>
      </w:r>
      <w:r>
        <w:rPr>
          <w:szCs w:val="21"/>
        </w:rPr>
        <w:t>国立大学</w:t>
      </w:r>
      <w:r w:rsidRPr="00E20CAC">
        <w:rPr>
          <w:rFonts w:hint="eastAsia"/>
          <w:szCs w:val="21"/>
        </w:rPr>
        <w:t>和同济</w:t>
      </w:r>
      <w:r>
        <w:rPr>
          <w:rFonts w:hint="eastAsia"/>
          <w:szCs w:val="21"/>
        </w:rPr>
        <w:t>大学</w:t>
      </w:r>
      <w:r w:rsidRPr="00E20CAC">
        <w:rPr>
          <w:rFonts w:hint="eastAsia"/>
          <w:szCs w:val="21"/>
        </w:rPr>
        <w:t>共同设立</w:t>
      </w:r>
      <w:r>
        <w:rPr>
          <w:rFonts w:hint="eastAsia"/>
          <w:szCs w:val="21"/>
        </w:rPr>
        <w:t>。参与的学生在同济进行三年的本科学习，而后前往新加坡</w:t>
      </w:r>
      <w:r>
        <w:rPr>
          <w:szCs w:val="21"/>
        </w:rPr>
        <w:t>国立大学</w:t>
      </w:r>
      <w:r>
        <w:rPr>
          <w:rFonts w:hint="eastAsia"/>
          <w:szCs w:val="21"/>
        </w:rPr>
        <w:t>进行一年的本科学习。完成四年本科学习后，</w:t>
      </w:r>
      <w:r w:rsidR="00F20EA2" w:rsidRPr="00F20EA2">
        <w:rPr>
          <w:rFonts w:hint="eastAsia"/>
          <w:szCs w:val="21"/>
        </w:rPr>
        <w:t>在达到针对学生选定课程规定成绩标准的情况下，进一步在新国大土木工程系攻读工程硕士</w:t>
      </w:r>
      <w:r w:rsidR="00F20EA2" w:rsidRPr="00F20EA2">
        <w:rPr>
          <w:rFonts w:hint="eastAsia"/>
          <w:szCs w:val="21"/>
        </w:rPr>
        <w:t xml:space="preserve"> (M.SC.) </w:t>
      </w:r>
      <w:r w:rsidR="00F20EA2" w:rsidRPr="00F20EA2">
        <w:rPr>
          <w:rFonts w:hint="eastAsia"/>
          <w:szCs w:val="21"/>
        </w:rPr>
        <w:t>或</w:t>
      </w:r>
      <w:r w:rsidR="00F20EA2" w:rsidRPr="00F20EA2">
        <w:rPr>
          <w:rFonts w:hint="eastAsia"/>
          <w:szCs w:val="21"/>
        </w:rPr>
        <w:t xml:space="preserve"> </w:t>
      </w:r>
      <w:r w:rsidR="00F20EA2" w:rsidRPr="00F20EA2">
        <w:rPr>
          <w:rFonts w:hint="eastAsia"/>
          <w:szCs w:val="21"/>
        </w:rPr>
        <w:t>理学硕士</w:t>
      </w:r>
      <w:r w:rsidR="00F20EA2" w:rsidRPr="00F20EA2">
        <w:rPr>
          <w:rFonts w:hint="eastAsia"/>
          <w:szCs w:val="21"/>
        </w:rPr>
        <w:t xml:space="preserve"> (M.Eng.) </w:t>
      </w:r>
      <w:r w:rsidR="00F20EA2" w:rsidRPr="00F20EA2">
        <w:rPr>
          <w:rFonts w:hint="eastAsia"/>
          <w:szCs w:val="21"/>
        </w:rPr>
        <w:t>课程</w:t>
      </w:r>
      <w:r w:rsidR="00F20EA2">
        <w:rPr>
          <w:rFonts w:hint="eastAsia"/>
          <w:szCs w:val="21"/>
        </w:rPr>
        <w:t>。</w:t>
      </w:r>
      <w:r w:rsidRPr="00E20CAC">
        <w:rPr>
          <w:rFonts w:hint="eastAsia"/>
          <w:szCs w:val="21"/>
        </w:rPr>
        <w:t>在成功修完</w:t>
      </w:r>
      <w:r>
        <w:rPr>
          <w:rFonts w:hint="eastAsia"/>
          <w:szCs w:val="21"/>
        </w:rPr>
        <w:t>新加坡</w:t>
      </w:r>
      <w:r>
        <w:rPr>
          <w:szCs w:val="21"/>
        </w:rPr>
        <w:t>国立大学土木工程系</w:t>
      </w:r>
      <w:r>
        <w:rPr>
          <w:rFonts w:hint="eastAsia"/>
          <w:szCs w:val="21"/>
        </w:rPr>
        <w:t>的理学</w:t>
      </w:r>
      <w:r>
        <w:rPr>
          <w:szCs w:val="21"/>
        </w:rPr>
        <w:t>/</w:t>
      </w:r>
      <w:r>
        <w:rPr>
          <w:rFonts w:hint="eastAsia"/>
          <w:szCs w:val="21"/>
        </w:rPr>
        <w:t>工学</w:t>
      </w:r>
      <w:r w:rsidRPr="00E20CAC">
        <w:rPr>
          <w:rFonts w:hint="eastAsia"/>
          <w:szCs w:val="21"/>
        </w:rPr>
        <w:t>硕士课程后，学生将同时获得同济大学授予的本科学位和伯克利分校土木与环境工程系授予的硕士学位。</w:t>
      </w:r>
    </w:p>
    <w:p w:rsidR="0010255C" w:rsidRDefault="0010255C" w:rsidP="0011094B">
      <w:pPr>
        <w:pStyle w:val="1"/>
        <w:ind w:firstLineChars="82" w:firstLine="198"/>
      </w:pPr>
      <w:r>
        <w:t xml:space="preserve">2 </w:t>
      </w:r>
      <w:r>
        <w:rPr>
          <w:rFonts w:hint="eastAsia"/>
        </w:rPr>
        <w:t>简介</w:t>
      </w:r>
    </w:p>
    <w:p w:rsidR="00B71EBD" w:rsidRDefault="00B71EBD" w:rsidP="00B71EBD">
      <w:pPr>
        <w:ind w:firstLine="420"/>
      </w:pPr>
      <w:r>
        <w:rPr>
          <w:rFonts w:hint="eastAsia"/>
        </w:rPr>
        <w:t xml:space="preserve">2.1  </w:t>
      </w:r>
      <w:r w:rsidRPr="00B71EBD">
        <w:rPr>
          <w:rFonts w:hint="eastAsia"/>
        </w:rPr>
        <w:t>同济大学交通运输工程学院的学生在顺利完成国内大学前三（</w:t>
      </w:r>
      <w:r w:rsidRPr="00B71EBD">
        <w:rPr>
          <w:rFonts w:hint="eastAsia"/>
        </w:rPr>
        <w:t>3</w:t>
      </w:r>
      <w:r w:rsidRPr="00B71EBD">
        <w:rPr>
          <w:rFonts w:hint="eastAsia"/>
        </w:rPr>
        <w:t>）年的工程本科课程后，可以申请到新国大土木工程系以非毕业、非交换生的身份完成本科最后一学年的学业，并获取新国大土木工程系工程硕士研究课程项目的临时录取通知书。</w:t>
      </w:r>
    </w:p>
    <w:p w:rsidR="00B71EBD" w:rsidRDefault="00B71EBD" w:rsidP="00B71EBD">
      <w:pPr>
        <w:ind w:firstLine="420"/>
      </w:pPr>
      <w:r>
        <w:t xml:space="preserve">2.2  </w:t>
      </w:r>
      <w:r w:rsidRPr="00B71EBD">
        <w:rPr>
          <w:rFonts w:hint="eastAsia"/>
        </w:rPr>
        <w:t>临时录取通知书转化为正式录取通知书的条件是：</w:t>
      </w:r>
    </w:p>
    <w:p w:rsidR="00B71EBD" w:rsidRDefault="00B71EBD" w:rsidP="00B71EBD">
      <w:pPr>
        <w:ind w:firstLine="420"/>
      </w:pPr>
      <w:r w:rsidRPr="00B71EBD">
        <w:rPr>
          <w:rFonts w:hint="eastAsia"/>
        </w:rPr>
        <w:t>（</w:t>
      </w:r>
      <w:r w:rsidRPr="00B71EBD">
        <w:rPr>
          <w:rFonts w:hint="eastAsia"/>
        </w:rPr>
        <w:t>i</w:t>
      </w:r>
      <w:r w:rsidRPr="00B71EBD">
        <w:rPr>
          <w:rFonts w:hint="eastAsia"/>
        </w:rPr>
        <w:t>）在同济大学交通运输工程学院毕业，获得工程本科学位，相当于新国大工程学士荣誉学位（优异水平）；</w:t>
      </w:r>
    </w:p>
    <w:p w:rsidR="00C666C3" w:rsidRDefault="00B71EBD" w:rsidP="00C666C3">
      <w:pPr>
        <w:ind w:firstLine="420"/>
      </w:pPr>
      <w:r w:rsidRPr="00B71EBD">
        <w:rPr>
          <w:rFonts w:hint="eastAsia"/>
        </w:rPr>
        <w:t>（</w:t>
      </w:r>
      <w:r w:rsidRPr="00B71EBD">
        <w:rPr>
          <w:rFonts w:hint="eastAsia"/>
        </w:rPr>
        <w:t>ii</w:t>
      </w:r>
      <w:r w:rsidRPr="00B71EBD">
        <w:rPr>
          <w:rFonts w:hint="eastAsia"/>
        </w:rPr>
        <w:t>）</w:t>
      </w:r>
      <w:r w:rsidR="00C666C3">
        <w:rPr>
          <w:rFonts w:hint="eastAsia"/>
        </w:rPr>
        <w:t>对于</w:t>
      </w:r>
      <w:r w:rsidR="00C666C3">
        <w:t>工学硕士，</w:t>
      </w:r>
      <w:r w:rsidRPr="00B71EBD">
        <w:rPr>
          <w:rFonts w:hint="eastAsia"/>
        </w:rPr>
        <w:t>在新国大土木工程系的本科最后一学年成功完成为期两个学期的研究和</w:t>
      </w:r>
      <w:r w:rsidRPr="00B71EBD">
        <w:rPr>
          <w:rFonts w:hint="eastAsia"/>
        </w:rPr>
        <w:t>5000</w:t>
      </w:r>
      <w:r w:rsidRPr="00B71EBD">
        <w:rPr>
          <w:rFonts w:hint="eastAsia"/>
        </w:rPr>
        <w:t>级模块中的至少</w:t>
      </w:r>
      <w:r w:rsidRPr="00B71EBD">
        <w:rPr>
          <w:rFonts w:hint="eastAsia"/>
        </w:rPr>
        <w:t>16</w:t>
      </w:r>
      <w:r w:rsidRPr="00B71EBD">
        <w:rPr>
          <w:rFonts w:hint="eastAsia"/>
        </w:rPr>
        <w:t>个模块学分（</w:t>
      </w:r>
      <w:r w:rsidRPr="00B71EBD">
        <w:rPr>
          <w:rFonts w:hint="eastAsia"/>
        </w:rPr>
        <w:t>MCs</w:t>
      </w:r>
      <w:r w:rsidRPr="00B71EBD">
        <w:rPr>
          <w:rFonts w:hint="eastAsia"/>
        </w:rPr>
        <w:t>），土木工程其加权平均分（</w:t>
      </w:r>
      <w:r w:rsidRPr="00B71EBD">
        <w:rPr>
          <w:rFonts w:hint="eastAsia"/>
        </w:rPr>
        <w:t>CAP</w:t>
      </w:r>
      <w:r w:rsidRPr="00B71EBD">
        <w:rPr>
          <w:rFonts w:hint="eastAsia"/>
        </w:rPr>
        <w:t>）不低于</w:t>
      </w:r>
      <w:r w:rsidRPr="00B71EBD">
        <w:rPr>
          <w:rFonts w:hint="eastAsia"/>
        </w:rPr>
        <w:t>3.5</w:t>
      </w:r>
      <w:r w:rsidRPr="00B71EBD">
        <w:rPr>
          <w:rFonts w:hint="eastAsia"/>
        </w:rPr>
        <w:t>（</w:t>
      </w:r>
      <w:r w:rsidRPr="00B71EBD">
        <w:rPr>
          <w:rFonts w:hint="eastAsia"/>
        </w:rPr>
        <w:t>5</w:t>
      </w:r>
      <w:r w:rsidRPr="00B71EBD">
        <w:rPr>
          <w:rFonts w:hint="eastAsia"/>
        </w:rPr>
        <w:t>分制）；</w:t>
      </w:r>
      <w:r>
        <w:rPr>
          <w:rFonts w:hint="eastAsia"/>
        </w:rPr>
        <w:t xml:space="preserve"> </w:t>
      </w:r>
      <w:r w:rsidR="00C666C3">
        <w:rPr>
          <w:rFonts w:hint="eastAsia"/>
        </w:rPr>
        <w:t>对于</w:t>
      </w:r>
      <w:r w:rsidR="00C666C3">
        <w:t>理学硕士，</w:t>
      </w:r>
      <w:r w:rsidR="00C666C3" w:rsidRPr="00C666C3">
        <w:rPr>
          <w:rFonts w:hint="eastAsia"/>
        </w:rPr>
        <w:t>在新国大土木工程系的本科最后一学年修满至少</w:t>
      </w:r>
      <w:r w:rsidR="00C666C3" w:rsidRPr="00C666C3">
        <w:rPr>
          <w:rFonts w:hint="eastAsia"/>
        </w:rPr>
        <w:t>24</w:t>
      </w:r>
      <w:r w:rsidR="00C666C3" w:rsidRPr="00C666C3">
        <w:rPr>
          <w:rFonts w:hint="eastAsia"/>
        </w:rPr>
        <w:t>个模块学分</w:t>
      </w:r>
      <w:r w:rsidR="00C666C3" w:rsidRPr="00C666C3">
        <w:rPr>
          <w:rFonts w:hint="eastAsia"/>
        </w:rPr>
        <w:t xml:space="preserve"> (MCs)</w:t>
      </w:r>
      <w:r w:rsidR="00C666C3" w:rsidRPr="00C666C3">
        <w:rPr>
          <w:rFonts w:hint="eastAsia"/>
        </w:rPr>
        <w:t>，而且加权平均分（</w:t>
      </w:r>
      <w:r w:rsidR="00C666C3" w:rsidRPr="00C666C3">
        <w:rPr>
          <w:rFonts w:hint="eastAsia"/>
        </w:rPr>
        <w:t>CAP</w:t>
      </w:r>
      <w:r w:rsidR="00C666C3" w:rsidRPr="00C666C3">
        <w:rPr>
          <w:rFonts w:hint="eastAsia"/>
        </w:rPr>
        <w:t>）不低于</w:t>
      </w:r>
      <w:r w:rsidR="00C666C3" w:rsidRPr="00C666C3">
        <w:rPr>
          <w:rFonts w:hint="eastAsia"/>
        </w:rPr>
        <w:t>3.5</w:t>
      </w:r>
      <w:r w:rsidR="00C666C3" w:rsidRPr="00C666C3">
        <w:rPr>
          <w:rFonts w:hint="eastAsia"/>
        </w:rPr>
        <w:t>（</w:t>
      </w:r>
      <w:r w:rsidR="00C666C3" w:rsidRPr="00C666C3">
        <w:rPr>
          <w:rFonts w:hint="eastAsia"/>
        </w:rPr>
        <w:t>5</w:t>
      </w:r>
      <w:r w:rsidR="00C666C3" w:rsidRPr="00C666C3">
        <w:rPr>
          <w:rFonts w:hint="eastAsia"/>
        </w:rPr>
        <w:t>分制）。</w:t>
      </w:r>
    </w:p>
    <w:p w:rsidR="00B71EBD" w:rsidRPr="00B71EBD" w:rsidRDefault="00B71EBD" w:rsidP="00B71EBD">
      <w:pPr>
        <w:ind w:firstLineChars="195" w:firstLine="409"/>
      </w:pPr>
      <w:r w:rsidRPr="00B71EBD">
        <w:rPr>
          <w:rFonts w:hint="eastAsia"/>
        </w:rPr>
        <w:t>（</w:t>
      </w:r>
      <w:r w:rsidRPr="00B71EBD">
        <w:rPr>
          <w:rFonts w:hint="eastAsia"/>
        </w:rPr>
        <w:t>iii</w:t>
      </w:r>
      <w:r w:rsidRPr="00B71EBD">
        <w:rPr>
          <w:rFonts w:hint="eastAsia"/>
        </w:rPr>
        <w:t>）</w:t>
      </w:r>
      <w:r w:rsidR="00C666C3">
        <w:rPr>
          <w:rFonts w:hint="eastAsia"/>
        </w:rPr>
        <w:t>对于</w:t>
      </w:r>
      <w:r w:rsidR="00C666C3">
        <w:t>工学硕士，</w:t>
      </w:r>
      <w:r w:rsidRPr="00B71EBD">
        <w:rPr>
          <w:rFonts w:hint="eastAsia"/>
        </w:rPr>
        <w:t>学生必须获得至少一名学术人员的同意，以监督其工程硕士研究论文。</w:t>
      </w:r>
    </w:p>
    <w:p w:rsidR="0010255C" w:rsidRDefault="0010255C" w:rsidP="0010255C">
      <w:pPr>
        <w:pStyle w:val="1"/>
        <w:ind w:firstLineChars="71" w:firstLine="171"/>
      </w:pPr>
      <w:r>
        <w:rPr>
          <w:rFonts w:hint="eastAsia"/>
        </w:rPr>
        <w:t xml:space="preserve">3 </w:t>
      </w:r>
      <w:r>
        <w:rPr>
          <w:rFonts w:hint="eastAsia"/>
        </w:rPr>
        <w:t>录取</w:t>
      </w:r>
      <w:r>
        <w:t>与注册</w:t>
      </w:r>
    </w:p>
    <w:p w:rsidR="0010255C" w:rsidRDefault="0010255C" w:rsidP="0010255C">
      <w:pPr>
        <w:ind w:firstLineChars="95" w:firstLine="199"/>
      </w:pPr>
      <w:r>
        <w:rPr>
          <w:rFonts w:hint="eastAsia"/>
        </w:rPr>
        <w:t xml:space="preserve">3.1 </w:t>
      </w:r>
      <w:r w:rsidRPr="00E20CAC">
        <w:rPr>
          <w:rFonts w:hint="eastAsia"/>
        </w:rPr>
        <w:t>同济会根据候选学生第一、二学年的学习情况，推荐合适的学生前往伯克利学习。</w:t>
      </w:r>
    </w:p>
    <w:p w:rsidR="0010255C" w:rsidRDefault="0010255C" w:rsidP="0010255C">
      <w:pPr>
        <w:ind w:firstLineChars="95" w:firstLine="199"/>
        <w:rPr>
          <w:szCs w:val="21"/>
        </w:rPr>
      </w:pPr>
      <w:r>
        <w:t xml:space="preserve">3.2 </w:t>
      </w:r>
      <w:r w:rsidRPr="00E20CAC">
        <w:rPr>
          <w:rFonts w:hint="eastAsia"/>
          <w:szCs w:val="21"/>
        </w:rPr>
        <w:t>所有参加本项目的候选人必须满足以下要求：</w:t>
      </w:r>
    </w:p>
    <w:p w:rsidR="0010255C" w:rsidRPr="00C10486" w:rsidRDefault="0010255C" w:rsidP="0010255C">
      <w:pPr>
        <w:ind w:firstLineChars="95" w:firstLine="199"/>
        <w:rPr>
          <w:szCs w:val="21"/>
        </w:rPr>
      </w:pPr>
      <w:r>
        <w:rPr>
          <w:rFonts w:hint="eastAsia"/>
          <w:szCs w:val="21"/>
        </w:rPr>
        <w:t xml:space="preserve">   3.2.1</w:t>
      </w:r>
      <w:r w:rsidR="00C10486">
        <w:rPr>
          <w:szCs w:val="21"/>
        </w:rPr>
        <w:t xml:space="preserve"> </w:t>
      </w:r>
      <w:r w:rsidR="00C10486">
        <w:rPr>
          <w:rFonts w:hint="eastAsia"/>
          <w:szCs w:val="21"/>
        </w:rPr>
        <w:t>学生在前往新加坡</w:t>
      </w:r>
      <w:r w:rsidR="00C10486">
        <w:rPr>
          <w:szCs w:val="21"/>
        </w:rPr>
        <w:t>国立</w:t>
      </w:r>
      <w:r w:rsidR="00C10486">
        <w:rPr>
          <w:rFonts w:hint="eastAsia"/>
          <w:szCs w:val="21"/>
        </w:rPr>
        <w:t>大学</w:t>
      </w:r>
      <w:r w:rsidR="00C10486" w:rsidRPr="00C10486">
        <w:rPr>
          <w:rFonts w:hint="eastAsia"/>
          <w:szCs w:val="21"/>
        </w:rPr>
        <w:t>学习前，必须完成交通运输工程学士学位前三学年课程的学习。</w:t>
      </w:r>
    </w:p>
    <w:p w:rsidR="00C10486" w:rsidRDefault="0010255C" w:rsidP="0010255C">
      <w:pPr>
        <w:ind w:firstLineChars="95" w:firstLine="199"/>
        <w:rPr>
          <w:szCs w:val="21"/>
        </w:rPr>
      </w:pPr>
      <w:r>
        <w:rPr>
          <w:szCs w:val="21"/>
        </w:rPr>
        <w:t xml:space="preserve">   3.2.2</w:t>
      </w:r>
      <w:r w:rsidR="00C10486">
        <w:rPr>
          <w:szCs w:val="21"/>
        </w:rPr>
        <w:t xml:space="preserve"> </w:t>
      </w:r>
      <w:r w:rsidR="00C10486">
        <w:rPr>
          <w:rFonts w:hint="eastAsia"/>
          <w:szCs w:val="21"/>
        </w:rPr>
        <w:t>在开始新加坡</w:t>
      </w:r>
      <w:r w:rsidR="00C10486">
        <w:rPr>
          <w:szCs w:val="21"/>
        </w:rPr>
        <w:t>国立大学</w:t>
      </w:r>
      <w:r w:rsidR="00C10486">
        <w:rPr>
          <w:rFonts w:hint="eastAsia"/>
          <w:szCs w:val="21"/>
        </w:rPr>
        <w:t>硕士学习前，学生必须向新加坡</w:t>
      </w:r>
      <w:r w:rsidR="00C10486">
        <w:rPr>
          <w:szCs w:val="21"/>
        </w:rPr>
        <w:t>国立大学</w:t>
      </w:r>
      <w:r w:rsidR="00C10486" w:rsidRPr="00C10486">
        <w:rPr>
          <w:rFonts w:hint="eastAsia"/>
          <w:szCs w:val="21"/>
        </w:rPr>
        <w:t>研究生院提交相关材料</w:t>
      </w:r>
      <w:r w:rsidR="00C10486">
        <w:rPr>
          <w:rFonts w:hint="eastAsia"/>
          <w:szCs w:val="21"/>
        </w:rPr>
        <w:t>。</w:t>
      </w:r>
    </w:p>
    <w:p w:rsidR="00C10486" w:rsidRPr="00C10486" w:rsidRDefault="0010255C" w:rsidP="0010255C">
      <w:pPr>
        <w:ind w:firstLineChars="95" w:firstLine="199"/>
        <w:rPr>
          <w:szCs w:val="21"/>
        </w:rPr>
      </w:pPr>
      <w:r>
        <w:rPr>
          <w:szCs w:val="21"/>
        </w:rPr>
        <w:t xml:space="preserve">   3.2.3</w:t>
      </w:r>
      <w:r w:rsidR="00C10486">
        <w:rPr>
          <w:szCs w:val="21"/>
        </w:rPr>
        <w:t xml:space="preserve"> </w:t>
      </w:r>
      <w:r w:rsidR="00C10486" w:rsidRPr="007521E2">
        <w:rPr>
          <w:rFonts w:cs="宋体" w:hint="eastAsia"/>
          <w:sz w:val="22"/>
        </w:rPr>
        <w:t>最低英语水平要求</w:t>
      </w:r>
      <w:r w:rsidR="00C10486" w:rsidRPr="007521E2">
        <w:rPr>
          <w:rFonts w:cs="Times New Roman" w:hint="eastAsia"/>
          <w:sz w:val="22"/>
        </w:rPr>
        <w:t>：</w:t>
      </w:r>
      <w:r w:rsidR="00C10486" w:rsidRPr="007521E2">
        <w:rPr>
          <w:rFonts w:cs="宋体" w:hint="eastAsia"/>
          <w:sz w:val="22"/>
        </w:rPr>
        <w:t>托福</w:t>
      </w:r>
      <w:r w:rsidR="00C10486" w:rsidRPr="007521E2">
        <w:rPr>
          <w:rFonts w:cs="Times New Roman"/>
          <w:sz w:val="22"/>
        </w:rPr>
        <w:t>TOEFL 85</w:t>
      </w:r>
      <w:r w:rsidR="00C10486" w:rsidRPr="007521E2">
        <w:rPr>
          <w:rFonts w:cs="宋体" w:hint="eastAsia"/>
          <w:sz w:val="22"/>
        </w:rPr>
        <w:t>分或雅思</w:t>
      </w:r>
      <w:r w:rsidR="00C10486" w:rsidRPr="007521E2">
        <w:rPr>
          <w:rFonts w:cs="Times New Roman"/>
          <w:sz w:val="22"/>
        </w:rPr>
        <w:t>IELTS 6.0</w:t>
      </w:r>
      <w:r w:rsidR="00C10486" w:rsidRPr="007521E2">
        <w:rPr>
          <w:rFonts w:cs="宋体" w:hint="eastAsia"/>
          <w:sz w:val="22"/>
        </w:rPr>
        <w:t>分，考试成绩</w:t>
      </w:r>
      <w:r w:rsidR="001A6D87">
        <w:rPr>
          <w:rFonts w:cs="宋体" w:hint="eastAsia"/>
          <w:sz w:val="22"/>
        </w:rPr>
        <w:t>在有效期内。</w:t>
      </w:r>
    </w:p>
    <w:p w:rsidR="0010255C" w:rsidRDefault="0010255C" w:rsidP="0010255C">
      <w:pPr>
        <w:ind w:firstLineChars="95" w:firstLine="199"/>
        <w:rPr>
          <w:szCs w:val="21"/>
        </w:rPr>
      </w:pPr>
      <w:r>
        <w:rPr>
          <w:szCs w:val="21"/>
        </w:rPr>
        <w:lastRenderedPageBreak/>
        <w:t xml:space="preserve">3.3 </w:t>
      </w:r>
      <w:r w:rsidR="00C10486" w:rsidRPr="00C10486">
        <w:rPr>
          <w:rFonts w:hint="eastAsia"/>
          <w:szCs w:val="21"/>
        </w:rPr>
        <w:t>第一学年，最多录取</w:t>
      </w:r>
      <w:r w:rsidR="00C10486" w:rsidRPr="00C10486">
        <w:rPr>
          <w:rFonts w:hint="eastAsia"/>
          <w:szCs w:val="21"/>
        </w:rPr>
        <w:t>5</w:t>
      </w:r>
      <w:r w:rsidR="00C10486" w:rsidRPr="00C10486">
        <w:rPr>
          <w:rFonts w:hint="eastAsia"/>
          <w:szCs w:val="21"/>
        </w:rPr>
        <w:t>名同济大学交通运输工程学院学生参加理学硕士和工程硕士课程课程的学习。招生的最大人数逐年会做出调整。</w:t>
      </w:r>
    </w:p>
    <w:p w:rsidR="00AB4139" w:rsidRPr="0010255C" w:rsidRDefault="00AB4139" w:rsidP="0010255C">
      <w:pPr>
        <w:ind w:firstLineChars="95" w:firstLine="199"/>
      </w:pPr>
      <w:r>
        <w:rPr>
          <w:rFonts w:hint="eastAsia"/>
          <w:szCs w:val="21"/>
        </w:rPr>
        <w:t xml:space="preserve">3.4 </w:t>
      </w:r>
      <w:r w:rsidRPr="00AB4139">
        <w:rPr>
          <w:rFonts w:hint="eastAsia"/>
          <w:szCs w:val="21"/>
        </w:rPr>
        <w:t>学生将在新国大土木工程系注册为“非毕业、非交换”学生。</w:t>
      </w:r>
    </w:p>
    <w:p w:rsidR="0010255C" w:rsidRDefault="0010255C" w:rsidP="0010255C">
      <w:pPr>
        <w:pStyle w:val="1"/>
        <w:ind w:firstLineChars="71" w:firstLine="171"/>
      </w:pPr>
      <w:r>
        <w:rPr>
          <w:rFonts w:hint="eastAsia"/>
        </w:rPr>
        <w:t xml:space="preserve">4 </w:t>
      </w:r>
      <w:r>
        <w:rPr>
          <w:rFonts w:hint="eastAsia"/>
        </w:rPr>
        <w:t>新加坡</w:t>
      </w:r>
      <w:r>
        <w:t>国立大学学分</w:t>
      </w:r>
      <w:r>
        <w:rPr>
          <w:rFonts w:hint="eastAsia"/>
        </w:rPr>
        <w:t>要求</w:t>
      </w:r>
    </w:p>
    <w:p w:rsidR="00421B60" w:rsidRPr="005A72D7" w:rsidRDefault="00421B60" w:rsidP="00421B60">
      <w:pPr>
        <w:ind w:firstLine="422"/>
        <w:rPr>
          <w:b/>
        </w:rPr>
      </w:pPr>
      <w:r w:rsidRPr="005A72D7">
        <w:rPr>
          <w:rFonts w:hint="eastAsia"/>
          <w:b/>
        </w:rPr>
        <w:t xml:space="preserve">4.1 </w:t>
      </w:r>
      <w:r w:rsidRPr="005A72D7">
        <w:rPr>
          <w:rFonts w:hint="eastAsia"/>
          <w:b/>
        </w:rPr>
        <w:t>理学</w:t>
      </w:r>
      <w:r w:rsidRPr="005A72D7">
        <w:rPr>
          <w:b/>
        </w:rPr>
        <w:t>硕士</w:t>
      </w:r>
    </w:p>
    <w:p w:rsidR="00E03831" w:rsidRDefault="00E03831" w:rsidP="00E03831">
      <w:pPr>
        <w:ind w:firstLineChars="0" w:firstLine="0"/>
      </w:pPr>
      <w:r w:rsidRPr="00E03831">
        <w:rPr>
          <w:rFonts w:hint="eastAsia"/>
        </w:rPr>
        <w:tab/>
      </w:r>
      <w:r w:rsidR="005A72D7">
        <w:t xml:space="preserve">4.1.1 </w:t>
      </w:r>
      <w:r w:rsidRPr="00E03831">
        <w:rPr>
          <w:rFonts w:hint="eastAsia"/>
        </w:rPr>
        <w:t>学生可从新国大土木工程系提供的课程作业模块列表中选择至少修</w:t>
      </w:r>
      <w:r w:rsidRPr="00E03831">
        <w:rPr>
          <w:rFonts w:hint="eastAsia"/>
        </w:rPr>
        <w:t>24</w:t>
      </w:r>
      <w:r w:rsidRPr="00E03831">
        <w:rPr>
          <w:rFonts w:hint="eastAsia"/>
        </w:rPr>
        <w:t>个模块学分。建议的课程必须满足同济大学交通运输工程学院的学生学位要求。学生必须每学期至少修满</w:t>
      </w:r>
      <w:r w:rsidRPr="00E03831">
        <w:rPr>
          <w:rFonts w:hint="eastAsia"/>
        </w:rPr>
        <w:t>12</w:t>
      </w:r>
      <w:r w:rsidRPr="00E03831">
        <w:rPr>
          <w:rFonts w:hint="eastAsia"/>
        </w:rPr>
        <w:t>个模块学分，以通过学习要求。每个学生每学期最多可以修</w:t>
      </w:r>
      <w:r w:rsidRPr="00E03831">
        <w:rPr>
          <w:rFonts w:hint="eastAsia"/>
        </w:rPr>
        <w:t>20</w:t>
      </w:r>
      <w:r w:rsidRPr="00E03831">
        <w:rPr>
          <w:rFonts w:hint="eastAsia"/>
        </w:rPr>
        <w:t>个模块学分。新国大土木工程系将预先分配学生在提名和面试期间提交的选定模块。模块内容和评估均以英语进行。如果原有课程不可用，还应提出另一门满足学生学位要求的课程。对于</w:t>
      </w:r>
      <w:r w:rsidRPr="00E03831">
        <w:rPr>
          <w:rFonts w:hint="eastAsia"/>
        </w:rPr>
        <w:t>5000</w:t>
      </w:r>
      <w:r w:rsidRPr="00E03831">
        <w:rPr>
          <w:rFonts w:hint="eastAsia"/>
        </w:rPr>
        <w:t>级模块，最多可将</w:t>
      </w:r>
      <w:r w:rsidRPr="00E03831">
        <w:rPr>
          <w:rFonts w:hint="eastAsia"/>
        </w:rPr>
        <w:t>10</w:t>
      </w:r>
      <w:r w:rsidRPr="00E03831">
        <w:rPr>
          <w:rFonts w:hint="eastAsia"/>
        </w:rPr>
        <w:t>个模块学分（至少达到</w:t>
      </w:r>
      <w:r w:rsidRPr="00E03831">
        <w:rPr>
          <w:rFonts w:hint="eastAsia"/>
        </w:rPr>
        <w:t>B</w:t>
      </w:r>
      <w:r w:rsidRPr="00E03831">
        <w:rPr>
          <w:rFonts w:hint="eastAsia"/>
        </w:rPr>
        <w:t>级的成绩）转入土木工程理学硕士课程。</w:t>
      </w:r>
    </w:p>
    <w:p w:rsidR="005A72D7" w:rsidRDefault="005A72D7" w:rsidP="005A72D7">
      <w:pPr>
        <w:ind w:firstLine="420"/>
      </w:pPr>
      <w:r>
        <w:rPr>
          <w:rFonts w:hint="eastAsia"/>
        </w:rPr>
        <w:t xml:space="preserve">4.1.2 </w:t>
      </w:r>
      <w:r w:rsidRPr="005A72D7">
        <w:rPr>
          <w:rFonts w:hint="eastAsia"/>
        </w:rPr>
        <w:t>学生可从新国大土木工程系提供的模块列表中修满</w:t>
      </w:r>
      <w:r w:rsidRPr="005A72D7">
        <w:rPr>
          <w:rFonts w:hint="eastAsia"/>
        </w:rPr>
        <w:t>40</w:t>
      </w:r>
      <w:r w:rsidRPr="005A72D7">
        <w:rPr>
          <w:rFonts w:hint="eastAsia"/>
        </w:rPr>
        <w:t>个模块学分，以满足理学硕士毕业要求。</w:t>
      </w:r>
    </w:p>
    <w:p w:rsidR="005A72D7" w:rsidRPr="005A72D7" w:rsidRDefault="005A72D7" w:rsidP="005A72D7">
      <w:pPr>
        <w:ind w:firstLine="420"/>
        <w:rPr>
          <w:lang w:val="en-SG"/>
        </w:rPr>
      </w:pPr>
    </w:p>
    <w:p w:rsidR="00421B60" w:rsidRPr="005A72D7" w:rsidRDefault="00421B60" w:rsidP="00421B60">
      <w:pPr>
        <w:ind w:firstLine="422"/>
        <w:rPr>
          <w:b/>
        </w:rPr>
      </w:pPr>
      <w:r w:rsidRPr="005A72D7">
        <w:rPr>
          <w:rFonts w:hint="eastAsia"/>
          <w:b/>
        </w:rPr>
        <w:t xml:space="preserve">4.2 </w:t>
      </w:r>
      <w:r w:rsidRPr="005A72D7">
        <w:rPr>
          <w:rFonts w:hint="eastAsia"/>
          <w:b/>
        </w:rPr>
        <w:t>工学</w:t>
      </w:r>
      <w:r w:rsidRPr="005A72D7">
        <w:rPr>
          <w:b/>
        </w:rPr>
        <w:t>硕士</w:t>
      </w:r>
    </w:p>
    <w:p w:rsidR="00E03831" w:rsidRDefault="005A72D7" w:rsidP="00E03831">
      <w:pPr>
        <w:ind w:firstLine="420"/>
      </w:pPr>
      <w:r>
        <w:rPr>
          <w:rFonts w:hint="eastAsia"/>
        </w:rPr>
        <w:t>4.2.1</w:t>
      </w:r>
      <w:r>
        <w:t xml:space="preserve"> </w:t>
      </w:r>
      <w:r w:rsidR="00E03831" w:rsidRPr="00E03831">
        <w:rPr>
          <w:rFonts w:hint="eastAsia"/>
        </w:rPr>
        <w:t>学生可从新国大土木工程系认可的</w:t>
      </w:r>
      <w:r w:rsidR="00E03831" w:rsidRPr="00E03831">
        <w:rPr>
          <w:rFonts w:hint="eastAsia"/>
        </w:rPr>
        <w:t>5000</w:t>
      </w:r>
      <w:r w:rsidR="00E03831" w:rsidRPr="00E03831">
        <w:rPr>
          <w:rFonts w:hint="eastAsia"/>
        </w:rPr>
        <w:t>级模块列表中选择至少修</w:t>
      </w:r>
      <w:r w:rsidR="00E03831" w:rsidRPr="00E03831">
        <w:rPr>
          <w:rFonts w:hint="eastAsia"/>
        </w:rPr>
        <w:t xml:space="preserve"> 16 </w:t>
      </w:r>
      <w:r w:rsidR="00E03831" w:rsidRPr="00E03831">
        <w:rPr>
          <w:rFonts w:hint="eastAsia"/>
        </w:rPr>
        <w:t>个模块学分（</w:t>
      </w:r>
      <w:r w:rsidR="00E03831" w:rsidRPr="00E03831">
        <w:rPr>
          <w:rFonts w:hint="eastAsia"/>
        </w:rPr>
        <w:t>MCs</w:t>
      </w:r>
      <w:r w:rsidR="00E03831" w:rsidRPr="00E03831">
        <w:rPr>
          <w:rFonts w:hint="eastAsia"/>
        </w:rPr>
        <w:t>），以满足工程硕士课程作业要求。建议的课程必须满足同济大学交通运输工程学院的学生学位要求。</w:t>
      </w:r>
      <w:r w:rsidR="00E03831" w:rsidRPr="00E03831">
        <w:rPr>
          <w:rFonts w:hint="eastAsia"/>
        </w:rPr>
        <w:t xml:space="preserve"> </w:t>
      </w:r>
      <w:r w:rsidR="00E03831" w:rsidRPr="00E03831">
        <w:rPr>
          <w:rFonts w:hint="eastAsia"/>
        </w:rPr>
        <w:t>每个学生每学期最多可以修</w:t>
      </w:r>
      <w:r w:rsidR="00E03831" w:rsidRPr="00E03831">
        <w:rPr>
          <w:rFonts w:hint="eastAsia"/>
        </w:rPr>
        <w:t>20</w:t>
      </w:r>
      <w:r w:rsidR="00E03831" w:rsidRPr="00E03831">
        <w:rPr>
          <w:rFonts w:hint="eastAsia"/>
        </w:rPr>
        <w:t>个模块学分（</w:t>
      </w:r>
      <w:r w:rsidR="00E03831" w:rsidRPr="00E03831">
        <w:rPr>
          <w:rFonts w:hint="eastAsia"/>
        </w:rPr>
        <w:t>MCs</w:t>
      </w:r>
      <w:r w:rsidR="00E03831" w:rsidRPr="00E03831">
        <w:rPr>
          <w:rFonts w:hint="eastAsia"/>
        </w:rPr>
        <w:t>）。新国大土木工程系将预先分配学生在提名和面试期间提交的选定模块。附加研究不会在</w:t>
      </w:r>
      <w:r w:rsidR="00E03831" w:rsidRPr="00E03831">
        <w:rPr>
          <w:rFonts w:hint="eastAsia"/>
        </w:rPr>
        <w:t>NUS</w:t>
      </w:r>
      <w:r w:rsidR="00E03831" w:rsidRPr="00E03831">
        <w:rPr>
          <w:rFonts w:hint="eastAsia"/>
        </w:rPr>
        <w:t>成绩单上获得任何学分。模块内容和评估均以英语进行。如果原有课程不可用，还应提出另一门满足学生学位要求的课程。对于</w:t>
      </w:r>
      <w:r w:rsidR="00E03831" w:rsidRPr="00E03831">
        <w:rPr>
          <w:rFonts w:hint="eastAsia"/>
        </w:rPr>
        <w:t>5000</w:t>
      </w:r>
      <w:r w:rsidR="00E03831" w:rsidRPr="00E03831">
        <w:rPr>
          <w:rFonts w:hint="eastAsia"/>
        </w:rPr>
        <w:t>级模块，最多可将</w:t>
      </w:r>
      <w:r w:rsidR="00E03831" w:rsidRPr="00E03831">
        <w:rPr>
          <w:rFonts w:hint="eastAsia"/>
        </w:rPr>
        <w:t>4</w:t>
      </w:r>
      <w:r w:rsidR="00E03831" w:rsidRPr="00E03831">
        <w:rPr>
          <w:rFonts w:hint="eastAsia"/>
        </w:rPr>
        <w:t>个模块学分（至少达到</w:t>
      </w:r>
      <w:r w:rsidR="00E03831" w:rsidRPr="00E03831">
        <w:rPr>
          <w:rFonts w:hint="eastAsia"/>
        </w:rPr>
        <w:t>B</w:t>
      </w:r>
      <w:r w:rsidR="00E03831" w:rsidRPr="00E03831">
        <w:rPr>
          <w:rFonts w:hint="eastAsia"/>
        </w:rPr>
        <w:t>级成绩且与工程硕士研究领域相关）转入工程硕士课程。适用现行的学分转移政策。</w:t>
      </w:r>
    </w:p>
    <w:p w:rsidR="005A72D7" w:rsidRDefault="005A72D7" w:rsidP="00E03831">
      <w:pPr>
        <w:ind w:firstLine="420"/>
      </w:pPr>
      <w:r>
        <w:rPr>
          <w:rFonts w:hint="eastAsia"/>
        </w:rPr>
        <w:t xml:space="preserve">4.2.2 </w:t>
      </w:r>
      <w:r w:rsidRPr="005A72D7">
        <w:rPr>
          <w:rFonts w:hint="eastAsia"/>
        </w:rPr>
        <w:t>学生可从新国大土木工程系提供的模块列表中选修</w:t>
      </w:r>
      <w:r w:rsidRPr="005A72D7">
        <w:rPr>
          <w:rFonts w:hint="eastAsia"/>
        </w:rPr>
        <w:t>16</w:t>
      </w:r>
      <w:r w:rsidRPr="005A72D7">
        <w:rPr>
          <w:rFonts w:hint="eastAsia"/>
        </w:rPr>
        <w:t>个模块学分，以满足工程硕士学位课程作业要求。模块内容和评估均以英语进行。学生应满足附加要求，以满足工程硕士毕业要求，详见网址</w:t>
      </w:r>
      <w:hyperlink r:id="rId6" w:history="1">
        <w:r w:rsidRPr="00A43DF1">
          <w:rPr>
            <w:rStyle w:val="aa"/>
            <w:rFonts w:hint="eastAsia"/>
          </w:rPr>
          <w:t>https://www.eng.nus.edu.sg/graduate/graduate-research-based-programmes/programme-structure/master-of-engineering/</w:t>
        </w:r>
      </w:hyperlink>
    </w:p>
    <w:p w:rsidR="005A72D7" w:rsidRDefault="005A72D7" w:rsidP="00E03831">
      <w:pPr>
        <w:ind w:firstLine="420"/>
      </w:pPr>
    </w:p>
    <w:p w:rsidR="005A72D7" w:rsidRDefault="005A72D7" w:rsidP="00E03831">
      <w:pPr>
        <w:ind w:firstLine="420"/>
      </w:pPr>
      <w:r>
        <w:rPr>
          <w:rFonts w:hint="eastAsia"/>
        </w:rPr>
        <w:t xml:space="preserve">4.3 </w:t>
      </w:r>
      <w:r>
        <w:rPr>
          <w:rFonts w:hint="eastAsia"/>
        </w:rPr>
        <w:t>学分</w:t>
      </w:r>
      <w:r>
        <w:t>转换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8"/>
        <w:gridCol w:w="4148"/>
      </w:tblGrid>
      <w:tr w:rsidR="005A72D7" w:rsidRPr="006E10E6" w:rsidTr="005A72D7">
        <w:tc>
          <w:tcPr>
            <w:tcW w:w="2500" w:type="pct"/>
            <w:shd w:val="clear" w:color="auto" w:fill="D9D9D9"/>
            <w:vAlign w:val="center"/>
          </w:tcPr>
          <w:p w:rsidR="005A72D7" w:rsidRPr="006E10E6" w:rsidRDefault="005A72D7" w:rsidP="005A72D7">
            <w:pPr>
              <w:pStyle w:val="a9"/>
              <w:tabs>
                <w:tab w:val="left" w:pos="567"/>
              </w:tabs>
              <w:ind w:left="0" w:firstLine="422"/>
              <w:jc w:val="center"/>
              <w:rPr>
                <w:b/>
                <w:bCs/>
              </w:rPr>
            </w:pPr>
            <w:r w:rsidRPr="006E10E6">
              <w:rPr>
                <w:rFonts w:ascii="Times New Roman" w:hAnsi="Times New Roman" w:cs="宋体" w:hint="eastAsia"/>
                <w:b/>
                <w:bCs/>
              </w:rPr>
              <w:t>新国大成绩</w:t>
            </w:r>
          </w:p>
        </w:tc>
        <w:tc>
          <w:tcPr>
            <w:tcW w:w="2500" w:type="pct"/>
            <w:shd w:val="clear" w:color="auto" w:fill="D9D9D9"/>
            <w:vAlign w:val="center"/>
          </w:tcPr>
          <w:p w:rsidR="005A72D7" w:rsidRPr="006E10E6" w:rsidRDefault="005A72D7" w:rsidP="005A72D7">
            <w:pPr>
              <w:pStyle w:val="a9"/>
              <w:tabs>
                <w:tab w:val="left" w:pos="567"/>
              </w:tabs>
              <w:ind w:left="0" w:firstLine="422"/>
              <w:jc w:val="center"/>
              <w:rPr>
                <w:b/>
                <w:bCs/>
              </w:rPr>
            </w:pPr>
            <w:r w:rsidRPr="006E10E6">
              <w:rPr>
                <w:rFonts w:ascii="Times New Roman" w:hAnsi="Times New Roman" w:cs="宋体" w:hint="eastAsia"/>
                <w:b/>
                <w:bCs/>
              </w:rPr>
              <w:t>新国大分数</w:t>
            </w:r>
          </w:p>
        </w:tc>
      </w:tr>
      <w:tr w:rsidR="005A72D7" w:rsidRPr="006E10E6" w:rsidTr="005A72D7">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A+</w:t>
            </w:r>
          </w:p>
        </w:tc>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5.0</w:t>
            </w:r>
          </w:p>
        </w:tc>
      </w:tr>
      <w:tr w:rsidR="005A72D7" w:rsidRPr="006E10E6" w:rsidTr="005A72D7">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A</w:t>
            </w:r>
          </w:p>
        </w:tc>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5.0</w:t>
            </w:r>
          </w:p>
        </w:tc>
      </w:tr>
      <w:tr w:rsidR="005A72D7" w:rsidRPr="006E10E6" w:rsidTr="005A72D7">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A-</w:t>
            </w:r>
          </w:p>
        </w:tc>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4.5</w:t>
            </w:r>
          </w:p>
        </w:tc>
      </w:tr>
      <w:tr w:rsidR="005A72D7" w:rsidRPr="006E10E6" w:rsidTr="005A72D7">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B+</w:t>
            </w:r>
          </w:p>
        </w:tc>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4.0</w:t>
            </w:r>
          </w:p>
        </w:tc>
      </w:tr>
      <w:tr w:rsidR="005A72D7" w:rsidRPr="006E10E6" w:rsidTr="005A72D7">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B</w:t>
            </w:r>
          </w:p>
        </w:tc>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3.5</w:t>
            </w:r>
          </w:p>
        </w:tc>
      </w:tr>
      <w:tr w:rsidR="005A72D7" w:rsidRPr="006E10E6" w:rsidTr="005A72D7">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B-</w:t>
            </w:r>
          </w:p>
        </w:tc>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3.0</w:t>
            </w:r>
          </w:p>
        </w:tc>
      </w:tr>
      <w:tr w:rsidR="005A72D7" w:rsidRPr="006E10E6" w:rsidTr="005A72D7">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C+</w:t>
            </w:r>
          </w:p>
        </w:tc>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2.5</w:t>
            </w:r>
          </w:p>
        </w:tc>
      </w:tr>
      <w:tr w:rsidR="005A72D7" w:rsidRPr="006E10E6" w:rsidTr="005A72D7">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C</w:t>
            </w:r>
          </w:p>
        </w:tc>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2.0</w:t>
            </w:r>
          </w:p>
        </w:tc>
      </w:tr>
      <w:tr w:rsidR="005A72D7" w:rsidRPr="006E10E6" w:rsidTr="005A72D7">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lastRenderedPageBreak/>
              <w:t>D+</w:t>
            </w:r>
          </w:p>
        </w:tc>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1.5</w:t>
            </w:r>
          </w:p>
        </w:tc>
      </w:tr>
      <w:tr w:rsidR="005A72D7" w:rsidRPr="006E10E6" w:rsidTr="005A72D7">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D</w:t>
            </w:r>
          </w:p>
        </w:tc>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1.0</w:t>
            </w:r>
          </w:p>
        </w:tc>
      </w:tr>
      <w:tr w:rsidR="005A72D7" w:rsidRPr="006E10E6" w:rsidTr="005A72D7">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F</w:t>
            </w:r>
          </w:p>
        </w:tc>
        <w:tc>
          <w:tcPr>
            <w:tcW w:w="2500" w:type="pct"/>
            <w:vAlign w:val="center"/>
          </w:tcPr>
          <w:p w:rsidR="005A72D7" w:rsidRPr="006E10E6" w:rsidRDefault="005A72D7" w:rsidP="005A72D7">
            <w:pPr>
              <w:pStyle w:val="a9"/>
              <w:tabs>
                <w:tab w:val="left" w:pos="567"/>
              </w:tabs>
              <w:ind w:left="0" w:firstLine="420"/>
              <w:jc w:val="center"/>
              <w:rPr>
                <w:rFonts w:ascii="Times New Roman" w:hAnsi="Times New Roman" w:cs="Times New Roman"/>
              </w:rPr>
            </w:pPr>
            <w:r w:rsidRPr="006E10E6">
              <w:rPr>
                <w:rFonts w:ascii="Times New Roman" w:hAnsi="Times New Roman" w:cs="Times New Roman"/>
              </w:rPr>
              <w:t>0.0</w:t>
            </w:r>
          </w:p>
        </w:tc>
      </w:tr>
    </w:tbl>
    <w:p w:rsidR="005A72D7" w:rsidRPr="005A72D7" w:rsidRDefault="005A72D7" w:rsidP="00E03831">
      <w:pPr>
        <w:ind w:firstLine="420"/>
      </w:pPr>
    </w:p>
    <w:p w:rsidR="0010255C" w:rsidRDefault="0010255C" w:rsidP="0010255C">
      <w:pPr>
        <w:pStyle w:val="1"/>
        <w:ind w:firstLineChars="71" w:firstLine="171"/>
      </w:pPr>
      <w:r>
        <w:rPr>
          <w:rFonts w:hint="eastAsia"/>
        </w:rPr>
        <w:t>5</w:t>
      </w:r>
      <w:r>
        <w:t xml:space="preserve"> </w:t>
      </w:r>
      <w:r>
        <w:rPr>
          <w:rFonts w:hint="eastAsia"/>
        </w:rPr>
        <w:t>服务</w:t>
      </w:r>
      <w:r>
        <w:t>与费用</w:t>
      </w:r>
    </w:p>
    <w:p w:rsidR="00C10486" w:rsidRDefault="00C10486" w:rsidP="00C10486">
      <w:pPr>
        <w:ind w:firstLine="420"/>
      </w:pPr>
      <w:r>
        <w:rPr>
          <w:rFonts w:hint="eastAsia"/>
        </w:rPr>
        <w:t xml:space="preserve">5.1 </w:t>
      </w:r>
      <w:r w:rsidRPr="00C10486">
        <w:rPr>
          <w:rFonts w:hint="eastAsia"/>
        </w:rPr>
        <w:t>在新国大攻读本科最后一学年的学习期间，学生将向新国大支付学费和其他杂费。相关费用金额详见网址：</w:t>
      </w:r>
      <w:r w:rsidRPr="00C10486">
        <w:rPr>
          <w:rFonts w:hint="eastAsia"/>
        </w:rPr>
        <w:t xml:space="preserve"> http://www.nus.edu.sg/registrar/administrative-policies-procedures/non-graduating/non-graduating-fees</w:t>
      </w:r>
      <w:r>
        <w:rPr>
          <w:rFonts w:hint="eastAsia"/>
        </w:rPr>
        <w:t>。适用于本</w:t>
      </w:r>
      <w:r w:rsidRPr="00C10486">
        <w:rPr>
          <w:rFonts w:hint="eastAsia"/>
        </w:rPr>
        <w:t>项目的费用类别是“未获得新加坡教育部学费补助金的学生应付的费用”。</w:t>
      </w:r>
    </w:p>
    <w:p w:rsidR="006C59A0" w:rsidRDefault="006C59A0" w:rsidP="00C10486">
      <w:pPr>
        <w:ind w:firstLine="420"/>
      </w:pPr>
      <w:r>
        <w:rPr>
          <w:rFonts w:hint="eastAsia"/>
        </w:rPr>
        <w:t xml:space="preserve">5.2 </w:t>
      </w:r>
      <w:r w:rsidR="00155FDF">
        <w:rPr>
          <w:rFonts w:hint="eastAsia"/>
        </w:rPr>
        <w:t>攻读</w:t>
      </w:r>
      <w:r w:rsidR="00B33429">
        <w:rPr>
          <w:rFonts w:hint="eastAsia"/>
        </w:rPr>
        <w:t>硕士的学生也将向新国大支付学费和其他杂</w:t>
      </w:r>
      <w:r w:rsidRPr="006C59A0">
        <w:rPr>
          <w:rFonts w:hint="eastAsia"/>
        </w:rPr>
        <w:t>费，详见网址：</w:t>
      </w:r>
      <w:r w:rsidRPr="006C59A0">
        <w:rPr>
          <w:rFonts w:hint="eastAsia"/>
        </w:rPr>
        <w:t>http://www.nus.edu.sg/registrar/administrative-policies-procedures/graduate/graduate-fees</w:t>
      </w:r>
      <w:r w:rsidRPr="006C59A0">
        <w:rPr>
          <w:rFonts w:hint="eastAsia"/>
        </w:rPr>
        <w:t>。本框架项目下的非新加坡籍学生适用“无补贴费用”类别。学生在攻读工程硕士前或期间，均不得申请及报名参加新加坡教育部义务服务补贴。这是学生参加本联合教育框架项目的先决条件。费用可能会不时调整。</w:t>
      </w:r>
    </w:p>
    <w:p w:rsidR="00AA426F" w:rsidRDefault="00AA426F" w:rsidP="00AA426F">
      <w:pPr>
        <w:ind w:firstLine="420"/>
      </w:pPr>
      <w:r>
        <w:rPr>
          <w:rFonts w:hint="eastAsia"/>
        </w:rPr>
        <w:t xml:space="preserve">5.3 </w:t>
      </w:r>
      <w:r w:rsidR="00411A94">
        <w:rPr>
          <w:rFonts w:hint="eastAsia"/>
        </w:rPr>
        <w:t>学生自行负责在新国大攻读本科最后一年和</w:t>
      </w:r>
      <w:r>
        <w:rPr>
          <w:rFonts w:hint="eastAsia"/>
        </w:rPr>
        <w:t>硕士课程时发生的所有其他费用，包括：</w:t>
      </w:r>
    </w:p>
    <w:p w:rsidR="00AA426F" w:rsidRDefault="00AA426F" w:rsidP="00AA426F">
      <w:pPr>
        <w:ind w:firstLine="420"/>
      </w:pPr>
      <w:r>
        <w:rPr>
          <w:rFonts w:hint="eastAsia"/>
        </w:rPr>
        <w:t>a.</w:t>
      </w:r>
      <w:r>
        <w:rPr>
          <w:rFonts w:hint="eastAsia"/>
        </w:rPr>
        <w:tab/>
      </w:r>
      <w:r>
        <w:rPr>
          <w:rFonts w:hint="eastAsia"/>
        </w:rPr>
        <w:t>新加坡政府要求的强制性支出；</w:t>
      </w:r>
    </w:p>
    <w:p w:rsidR="00AA426F" w:rsidRDefault="00AA426F" w:rsidP="00AA426F">
      <w:pPr>
        <w:ind w:firstLine="420"/>
      </w:pPr>
      <w:r>
        <w:rPr>
          <w:rFonts w:hint="eastAsia"/>
        </w:rPr>
        <w:t>b.</w:t>
      </w:r>
      <w:r>
        <w:rPr>
          <w:rFonts w:hint="eastAsia"/>
        </w:rPr>
        <w:tab/>
      </w:r>
      <w:r>
        <w:rPr>
          <w:rFonts w:hint="eastAsia"/>
        </w:rPr>
        <w:t>往返新加坡的旅费；</w:t>
      </w:r>
      <w:bookmarkStart w:id="0" w:name="_GoBack"/>
      <w:bookmarkEnd w:id="0"/>
    </w:p>
    <w:p w:rsidR="00AA426F" w:rsidRDefault="00AA426F" w:rsidP="00AA426F">
      <w:pPr>
        <w:ind w:firstLine="420"/>
      </w:pPr>
      <w:r>
        <w:rPr>
          <w:rFonts w:hint="eastAsia"/>
        </w:rPr>
        <w:t>c.</w:t>
      </w:r>
      <w:r>
        <w:rPr>
          <w:rFonts w:hint="eastAsia"/>
        </w:rPr>
        <w:tab/>
      </w:r>
      <w:r>
        <w:rPr>
          <w:rFonts w:hint="eastAsia"/>
        </w:rPr>
        <w:t>个人生活费用，包括住宿、交通和餐饮；</w:t>
      </w:r>
    </w:p>
    <w:p w:rsidR="00AA426F" w:rsidRDefault="00AA426F" w:rsidP="00AA426F">
      <w:pPr>
        <w:ind w:firstLine="420"/>
      </w:pPr>
      <w:r>
        <w:rPr>
          <w:rFonts w:hint="eastAsia"/>
        </w:rPr>
        <w:t>d.</w:t>
      </w:r>
      <w:r>
        <w:rPr>
          <w:rFonts w:hint="eastAsia"/>
        </w:rPr>
        <w:tab/>
      </w:r>
      <w:r w:rsidR="00F73611">
        <w:rPr>
          <w:rFonts w:hint="eastAsia"/>
        </w:rPr>
        <w:t>在新国大使用非学术或非义务性设施、服务和功能；</w:t>
      </w:r>
    </w:p>
    <w:p w:rsidR="00AA426F" w:rsidRPr="00AA426F" w:rsidRDefault="00AA426F" w:rsidP="00AA426F">
      <w:pPr>
        <w:ind w:firstLine="420"/>
        <w:rPr>
          <w:lang w:val="en-SG"/>
        </w:rPr>
      </w:pPr>
      <w:r>
        <w:rPr>
          <w:rFonts w:hint="eastAsia"/>
        </w:rPr>
        <w:t>e.</w:t>
      </w:r>
      <w:r>
        <w:rPr>
          <w:rFonts w:hint="eastAsia"/>
        </w:rPr>
        <w:tab/>
      </w:r>
      <w:r>
        <w:rPr>
          <w:rFonts w:hint="eastAsia"/>
        </w:rPr>
        <w:t>在新国大学习期间发生的任何债务和损害赔偿金。</w:t>
      </w:r>
    </w:p>
    <w:sectPr w:rsidR="00AA426F" w:rsidRPr="00AA4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08F" w:rsidRDefault="0023308F" w:rsidP="008122A8">
      <w:pPr>
        <w:spacing w:line="240" w:lineRule="auto"/>
        <w:ind w:firstLine="420"/>
      </w:pPr>
      <w:r>
        <w:separator/>
      </w:r>
    </w:p>
  </w:endnote>
  <w:endnote w:type="continuationSeparator" w:id="0">
    <w:p w:rsidR="0023308F" w:rsidRDefault="0023308F" w:rsidP="008122A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08F" w:rsidRDefault="0023308F" w:rsidP="008122A8">
      <w:pPr>
        <w:spacing w:line="240" w:lineRule="auto"/>
        <w:ind w:firstLine="420"/>
      </w:pPr>
      <w:r>
        <w:separator/>
      </w:r>
    </w:p>
  </w:footnote>
  <w:footnote w:type="continuationSeparator" w:id="0">
    <w:p w:rsidR="0023308F" w:rsidRDefault="0023308F" w:rsidP="008122A8">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4"/>
    <w:rsid w:val="0010255C"/>
    <w:rsid w:val="0011094B"/>
    <w:rsid w:val="00155FDF"/>
    <w:rsid w:val="001A6D87"/>
    <w:rsid w:val="0023308F"/>
    <w:rsid w:val="00411A94"/>
    <w:rsid w:val="00421B60"/>
    <w:rsid w:val="00433725"/>
    <w:rsid w:val="005A72D7"/>
    <w:rsid w:val="006C59A0"/>
    <w:rsid w:val="007C37F3"/>
    <w:rsid w:val="008122A8"/>
    <w:rsid w:val="008F48BD"/>
    <w:rsid w:val="00934A56"/>
    <w:rsid w:val="00AA426F"/>
    <w:rsid w:val="00AB4139"/>
    <w:rsid w:val="00B33429"/>
    <w:rsid w:val="00B71EBD"/>
    <w:rsid w:val="00C10486"/>
    <w:rsid w:val="00C666C3"/>
    <w:rsid w:val="00DC0AB4"/>
    <w:rsid w:val="00E03831"/>
    <w:rsid w:val="00F20EA2"/>
    <w:rsid w:val="00F54FCE"/>
    <w:rsid w:val="00F7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D1A38"/>
  <w15:chartTrackingRefBased/>
  <w15:docId w15:val="{5395780A-19B6-4890-817F-77295FDE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2A8"/>
    <w:pPr>
      <w:widowControl w:val="0"/>
      <w:spacing w:line="360" w:lineRule="exact"/>
      <w:ind w:firstLineChars="200" w:firstLine="200"/>
      <w:jc w:val="both"/>
    </w:pPr>
    <w:rPr>
      <w:rFonts w:ascii="Times New Roman" w:eastAsia="宋体" w:hAnsi="Times New Roman"/>
    </w:rPr>
  </w:style>
  <w:style w:type="paragraph" w:styleId="1">
    <w:name w:val="heading 1"/>
    <w:basedOn w:val="a"/>
    <w:next w:val="a"/>
    <w:link w:val="10"/>
    <w:uiPriority w:val="9"/>
    <w:qFormat/>
    <w:rsid w:val="0011094B"/>
    <w:pPr>
      <w:keepNext/>
      <w:keepLines/>
      <w:spacing w:before="340" w:after="330" w:line="578" w:lineRule="atLeast"/>
      <w:outlineLvl w:val="0"/>
    </w:pPr>
    <w:rPr>
      <w:b/>
      <w:bCs/>
      <w:kern w:val="44"/>
      <w:sz w:val="24"/>
      <w:szCs w:val="44"/>
    </w:rPr>
  </w:style>
  <w:style w:type="paragraph" w:styleId="2">
    <w:name w:val="heading 2"/>
    <w:basedOn w:val="a"/>
    <w:next w:val="a"/>
    <w:link w:val="20"/>
    <w:uiPriority w:val="9"/>
    <w:unhideWhenUsed/>
    <w:qFormat/>
    <w:rsid w:val="0010255C"/>
    <w:pPr>
      <w:keepNext/>
      <w:keepLines/>
      <w:spacing w:before="260" w:after="260" w:line="416" w:lineRule="atLeast"/>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2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22A8"/>
    <w:rPr>
      <w:sz w:val="18"/>
      <w:szCs w:val="18"/>
    </w:rPr>
  </w:style>
  <w:style w:type="paragraph" w:styleId="a5">
    <w:name w:val="footer"/>
    <w:basedOn w:val="a"/>
    <w:link w:val="a6"/>
    <w:uiPriority w:val="99"/>
    <w:unhideWhenUsed/>
    <w:rsid w:val="008122A8"/>
    <w:pPr>
      <w:tabs>
        <w:tab w:val="center" w:pos="4153"/>
        <w:tab w:val="right" w:pos="8306"/>
      </w:tabs>
      <w:snapToGrid w:val="0"/>
      <w:jc w:val="left"/>
    </w:pPr>
    <w:rPr>
      <w:sz w:val="18"/>
      <w:szCs w:val="18"/>
    </w:rPr>
  </w:style>
  <w:style w:type="character" w:customStyle="1" w:styleId="a6">
    <w:name w:val="页脚 字符"/>
    <w:basedOn w:val="a0"/>
    <w:link w:val="a5"/>
    <w:uiPriority w:val="99"/>
    <w:rsid w:val="008122A8"/>
    <w:rPr>
      <w:sz w:val="18"/>
      <w:szCs w:val="18"/>
    </w:rPr>
  </w:style>
  <w:style w:type="character" w:customStyle="1" w:styleId="10">
    <w:name w:val="标题 1 字符"/>
    <w:basedOn w:val="a0"/>
    <w:link w:val="1"/>
    <w:uiPriority w:val="9"/>
    <w:rsid w:val="0011094B"/>
    <w:rPr>
      <w:rFonts w:ascii="Times New Roman" w:eastAsia="宋体" w:hAnsi="Times New Roman"/>
      <w:b/>
      <w:bCs/>
      <w:kern w:val="44"/>
      <w:sz w:val="24"/>
      <w:szCs w:val="44"/>
    </w:rPr>
  </w:style>
  <w:style w:type="character" w:customStyle="1" w:styleId="20">
    <w:name w:val="标题 2 字符"/>
    <w:basedOn w:val="a0"/>
    <w:link w:val="2"/>
    <w:uiPriority w:val="9"/>
    <w:rsid w:val="0010255C"/>
    <w:rPr>
      <w:rFonts w:asciiTheme="majorHAnsi" w:eastAsiaTheme="majorEastAsia" w:hAnsiTheme="majorHAnsi" w:cstheme="majorBidi"/>
      <w:b/>
      <w:bCs/>
      <w:sz w:val="24"/>
      <w:szCs w:val="32"/>
    </w:rPr>
  </w:style>
  <w:style w:type="paragraph" w:styleId="a7">
    <w:name w:val="Date"/>
    <w:basedOn w:val="a"/>
    <w:next w:val="a"/>
    <w:link w:val="a8"/>
    <w:uiPriority w:val="99"/>
    <w:semiHidden/>
    <w:unhideWhenUsed/>
    <w:rsid w:val="0010255C"/>
    <w:pPr>
      <w:ind w:leftChars="2500" w:left="100"/>
    </w:pPr>
  </w:style>
  <w:style w:type="character" w:customStyle="1" w:styleId="a8">
    <w:name w:val="日期 字符"/>
    <w:basedOn w:val="a0"/>
    <w:link w:val="a7"/>
    <w:uiPriority w:val="99"/>
    <w:semiHidden/>
    <w:rsid w:val="0010255C"/>
    <w:rPr>
      <w:rFonts w:ascii="Times New Roman" w:eastAsia="宋体" w:hAnsi="Times New Roman"/>
    </w:rPr>
  </w:style>
  <w:style w:type="paragraph" w:styleId="a9">
    <w:name w:val="List Paragraph"/>
    <w:basedOn w:val="a"/>
    <w:uiPriority w:val="99"/>
    <w:qFormat/>
    <w:rsid w:val="005A72D7"/>
    <w:pPr>
      <w:widowControl/>
      <w:spacing w:line="240" w:lineRule="auto"/>
      <w:ind w:left="720" w:firstLineChars="0" w:firstLine="0"/>
      <w:jc w:val="left"/>
    </w:pPr>
    <w:rPr>
      <w:rFonts w:ascii="Calibri" w:hAnsi="Calibri" w:cs="Calibri"/>
      <w:kern w:val="0"/>
      <w:sz w:val="22"/>
      <w:lang w:val="en-SG"/>
    </w:rPr>
  </w:style>
  <w:style w:type="character" w:styleId="aa">
    <w:name w:val="Hyperlink"/>
    <w:basedOn w:val="a0"/>
    <w:uiPriority w:val="99"/>
    <w:unhideWhenUsed/>
    <w:rsid w:val="005A7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nus.edu.sg/graduate/graduate-research-based-programmes/programme-structure/master-of-engineerin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万小华</cp:lastModifiedBy>
  <cp:revision>25</cp:revision>
  <dcterms:created xsi:type="dcterms:W3CDTF">2020-12-21T06:35:00Z</dcterms:created>
  <dcterms:modified xsi:type="dcterms:W3CDTF">2020-12-22T02:30:00Z</dcterms:modified>
</cp:coreProperties>
</file>